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8519" w14:textId="77777777" w:rsidR="00A04C8F" w:rsidRPr="00E00A79" w:rsidRDefault="00A04C8F" w:rsidP="0092162A">
      <w:pPr>
        <w:pStyle w:val="a3"/>
        <w:spacing w:before="60" w:beforeAutospacing="0" w:after="240" w:afterAutospacing="0"/>
        <w:jc w:val="both"/>
        <w:rPr>
          <w:rFonts w:ascii="Verdana" w:hAnsi="Verdana"/>
          <w:color w:val="000000"/>
          <w:sz w:val="20"/>
          <w:szCs w:val="20"/>
          <w:lang w:val="en-US"/>
        </w:rPr>
      </w:pPr>
    </w:p>
    <w:p w14:paraId="4AEFDB62" w14:textId="5F0B5172" w:rsidR="00A04C8F" w:rsidRPr="005415D0" w:rsidRDefault="00A04C8F" w:rsidP="0092162A">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5415D0">
        <w:rPr>
          <w:rFonts w:ascii="Verdana" w:hAnsi="Verdana"/>
          <w:b/>
          <w:color w:val="000000"/>
          <w:sz w:val="18"/>
          <w:szCs w:val="18"/>
        </w:rPr>
        <w:t>ΕΙΚΑΣΤΙΚΩΝ ΤΕΧΝΩΝ ΚΑΙ ΕΠΙΣΤΗΜΩΝ ΤΗΣ ΤΕΧΝΗΣ</w:t>
      </w:r>
      <w:bookmarkStart w:id="0" w:name="_GoBack"/>
      <w:bookmarkEnd w:id="0"/>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27DFB509" w:rsidR="00FB4A10" w:rsidRPr="00036967" w:rsidRDefault="000F4593" w:rsidP="000F4593">
            <w:pPr>
              <w:jc w:val="center"/>
              <w:rPr>
                <w:rFonts w:ascii="Verdana" w:hAnsi="Verdana" w:cs="Arial"/>
                <w:b/>
                <w:sz w:val="18"/>
                <w:szCs w:val="18"/>
                <w:lang w:val="en-US"/>
              </w:rPr>
            </w:pPr>
            <w:r>
              <w:rPr>
                <w:rFonts w:ascii="Verdana" w:hAnsi="Verdana" w:cs="Arial"/>
                <w:b/>
                <w:noProof/>
                <w:sz w:val="18"/>
                <w:szCs w:val="18"/>
                <w:lang w:val="en-US"/>
              </w:rPr>
              <w:t>2</w:t>
            </w:r>
          </w:p>
        </w:tc>
        <w:tc>
          <w:tcPr>
            <w:tcW w:w="4239" w:type="dxa"/>
            <w:gridSpan w:val="3"/>
            <w:shd w:val="clear" w:color="auto" w:fill="auto"/>
            <w:vAlign w:val="center"/>
          </w:tcPr>
          <w:p w14:paraId="226C73D7" w14:textId="3C64E892" w:rsidR="00FB4A10" w:rsidRPr="00FB4A10" w:rsidRDefault="00FB4A10" w:rsidP="001C3520">
            <w:pPr>
              <w:rPr>
                <w:rFonts w:ascii="Verdana" w:hAnsi="Verdana" w:cs="Arial"/>
                <w:b/>
                <w:sz w:val="18"/>
                <w:szCs w:val="18"/>
              </w:rPr>
            </w:pPr>
            <w:r>
              <w:rPr>
                <w:rFonts w:ascii="Verdana" w:hAnsi="Verdana" w:cs="Arial"/>
                <w:b/>
                <w:sz w:val="18"/>
                <w:szCs w:val="18"/>
              </w:rPr>
              <w:t xml:space="preserve">ΠΛΗΡΗΣ </w:t>
            </w:r>
          </w:p>
        </w:tc>
        <w:tc>
          <w:tcPr>
            <w:tcW w:w="2536" w:type="dxa"/>
            <w:shd w:val="clear" w:color="auto" w:fill="auto"/>
            <w:vAlign w:val="center"/>
          </w:tcPr>
          <w:p w14:paraId="22EFE6A8" w14:textId="581B04A5" w:rsidR="00FB4A10" w:rsidRPr="00E00A79" w:rsidRDefault="00FB4A10" w:rsidP="001C3520">
            <w:pPr>
              <w:rPr>
                <w:rFonts w:ascii="Verdana" w:hAnsi="Verdana" w:cs="Arial"/>
                <w:b/>
                <w:sz w:val="18"/>
                <w:szCs w:val="18"/>
                <w:lang w:val="en-US"/>
              </w:rPr>
            </w:pPr>
            <w:r w:rsidRPr="00E00A79">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32C5784F" w:rsidR="00A04C8F" w:rsidRPr="000F4593" w:rsidRDefault="00E00A79" w:rsidP="001C3520">
            <w:pPr>
              <w:rPr>
                <w:rFonts w:ascii="Verdana" w:hAnsi="Verdana" w:cs="Arial"/>
                <w:b/>
                <w:bCs/>
                <w:sz w:val="18"/>
                <w:szCs w:val="18"/>
              </w:rPr>
            </w:pPr>
            <w:r w:rsidRPr="00E00A79">
              <w:rPr>
                <w:rFonts w:ascii="Verdana" w:hAnsi="Verdana" w:cs="Arial"/>
                <w:b/>
                <w:bCs/>
                <w:noProof/>
                <w:sz w:val="18"/>
                <w:szCs w:val="18"/>
              </w:rPr>
              <w:t>ΕΚΘΕΣΕΙΣ ΚΑΙ ΕΚΠΑΙΔΕΥΣΗ/ ΔΙΑΧ</w:t>
            </w:r>
            <w:r w:rsidR="000F4593">
              <w:rPr>
                <w:rFonts w:ascii="Verdana" w:hAnsi="Verdana" w:cs="Arial"/>
                <w:b/>
                <w:bCs/>
                <w:noProof/>
                <w:sz w:val="18"/>
                <w:szCs w:val="18"/>
              </w:rPr>
              <w:t>ΕΙΡΙΣΗ ΠΟΛΙΤΙΣΤΙΚΗΣ ΚΛΗΡΟΝΟΜΙΑΣ</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00A79" w:rsidRDefault="00467542" w:rsidP="001C3520">
            <w:pPr>
              <w:rPr>
                <w:rFonts w:ascii="Verdana" w:hAnsi="Verdana" w:cs="Arial"/>
                <w:b/>
                <w:bCs/>
                <w:noProof/>
                <w:sz w:val="18"/>
                <w:szCs w:val="18"/>
                <w:highlight w:val="yellow"/>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0D79E5F0" w:rsidR="003B1D0A" w:rsidRPr="00AE0E20" w:rsidRDefault="00E00A79" w:rsidP="003B1D0A">
            <w:pPr>
              <w:rPr>
                <w:rFonts w:ascii="Verdana" w:hAnsi="Verdana" w:cs="Arial"/>
                <w:b/>
                <w:bCs/>
                <w:sz w:val="18"/>
                <w:szCs w:val="18"/>
              </w:rPr>
            </w:pPr>
            <w:r w:rsidRPr="00AE0E20">
              <w:rPr>
                <w:rFonts w:ascii="Verdana" w:hAnsi="Verdana" w:cs="Arial"/>
                <w:b/>
                <w:bCs/>
                <w:noProof/>
                <w:sz w:val="18"/>
                <w:szCs w:val="18"/>
              </w:rPr>
              <w:t xml:space="preserve">ΕΕΥ 106 </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1F75A1C9" w:rsidR="00A04C8F" w:rsidRPr="00AE0E20" w:rsidRDefault="00E00A79" w:rsidP="001C3520">
            <w:pPr>
              <w:rPr>
                <w:rFonts w:ascii="Verdana" w:hAnsi="Verdana" w:cs="Arial"/>
                <w:b/>
                <w:bCs/>
                <w:sz w:val="18"/>
                <w:szCs w:val="18"/>
                <w:lang w:val="en-US"/>
              </w:rPr>
            </w:pPr>
            <w:r w:rsidRPr="00AE0E20">
              <w:rPr>
                <w:rFonts w:ascii="Verdana" w:hAnsi="Verdana" w:cs="Arial"/>
                <w:b/>
                <w:bCs/>
                <w:noProof/>
                <w:sz w:val="18"/>
                <w:szCs w:val="18"/>
                <w:lang w:val="en-US"/>
              </w:rPr>
              <w:t>Εκθέσεις και εκπαίδευση</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03C6DF41" w:rsidR="00A04C8F" w:rsidRPr="002C7CE2" w:rsidRDefault="00036967" w:rsidP="001C3520">
            <w:pPr>
              <w:rPr>
                <w:rFonts w:ascii="Verdana" w:hAnsi="Verdana" w:cs="Arial"/>
                <w:sz w:val="18"/>
                <w:szCs w:val="18"/>
              </w:rPr>
            </w:pPr>
            <w:r w:rsidRPr="002C7CE2">
              <w:rPr>
                <w:rFonts w:ascii="Verdana" w:hAnsi="Verdana" w:cs="Arial"/>
                <w:noProof/>
                <w:sz w:val="18"/>
                <w:szCs w:val="18"/>
              </w:rPr>
              <w:t xml:space="preserve">Υποχρεωτικό </w:t>
            </w:r>
            <w:r w:rsidR="002C7CE2">
              <w:rPr>
                <w:rFonts w:ascii="Verdana" w:hAnsi="Verdana" w:cs="Arial"/>
                <w:noProof/>
                <w:sz w:val="18"/>
                <w:szCs w:val="18"/>
              </w:rPr>
              <w:t>/ΜΠΣ «ΕΠΙΜΕΛΕΙΑ ΕΚΘΕΣΕΩΝ: ΘΕΩΡΗΤΙΚΕΣ ΚΑΙ ΠΡΑΚΤΙΚΕΣ ΠΡΟΣΕΓΓΙΣΕΙΣ»</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6890A800" w:rsidR="003B1D0A" w:rsidRPr="00C069AD" w:rsidRDefault="003B1D0A" w:rsidP="001C3520">
            <w:pPr>
              <w:jc w:val="center"/>
              <w:rPr>
                <w:rFonts w:ascii="Verdana" w:hAnsi="Verdana" w:cs="Arial"/>
                <w:sz w:val="18"/>
                <w:szCs w:val="18"/>
              </w:rPr>
            </w:pPr>
            <w:r w:rsidRPr="002C7CE2">
              <w:rPr>
                <w:rFonts w:ascii="Verdana" w:hAnsi="Verdana" w:cs="Arial"/>
                <w:noProof/>
                <w:sz w:val="18"/>
                <w:szCs w:val="18"/>
              </w:rPr>
              <w:t>1</w:t>
            </w:r>
            <w:r w:rsidRPr="002C7CE2">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7C7F7643" w:rsidR="003B1D0A" w:rsidRPr="00297CC3" w:rsidRDefault="002C7CE2" w:rsidP="001C3520">
            <w:pPr>
              <w:jc w:val="center"/>
              <w:rPr>
                <w:rFonts w:ascii="Verdana" w:hAnsi="Verdana" w:cs="Arial"/>
                <w:sz w:val="18"/>
                <w:szCs w:val="18"/>
              </w:rPr>
            </w:pPr>
            <w:r>
              <w:rPr>
                <w:rFonts w:ascii="Verdana" w:hAnsi="Verdana" w:cs="Arial"/>
                <w:noProof/>
                <w:sz w:val="18"/>
                <w:szCs w:val="18"/>
              </w:rPr>
              <w:t>10</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3FFA8797" w:rsidR="003B1D0A" w:rsidRPr="008A69EE" w:rsidRDefault="002C7CE2"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26D06077" w:rsidR="003B1D0A" w:rsidRPr="008A69EE" w:rsidRDefault="002C7CE2" w:rsidP="003B1D0A">
            <w:pPr>
              <w:jc w:val="center"/>
              <w:rPr>
                <w:rFonts w:ascii="Verdana" w:hAnsi="Verdana" w:cs="Arial"/>
                <w:sz w:val="18"/>
                <w:szCs w:val="18"/>
              </w:rPr>
            </w:pPr>
            <w:r>
              <w:rPr>
                <w:rFonts w:ascii="Verdana" w:hAnsi="Verdana" w:cs="Arial"/>
                <w:noProof/>
                <w:sz w:val="18"/>
                <w:szCs w:val="18"/>
              </w:rPr>
              <w:t>0</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8AE9521" w14:textId="77777777" w:rsidR="002C7CE2" w:rsidRDefault="002C7CE2" w:rsidP="002C7CE2">
            <w:pPr>
              <w:jc w:val="both"/>
              <w:rPr>
                <w:rFonts w:ascii="Verdana" w:hAnsi="Verdana" w:cs="Arial"/>
                <w:noProof/>
                <w:sz w:val="18"/>
                <w:szCs w:val="18"/>
              </w:rPr>
            </w:pPr>
            <w:r w:rsidRPr="002C7CE2">
              <w:rPr>
                <w:rFonts w:ascii="Verdana" w:hAnsi="Verdana" w:cs="Arial"/>
                <w:noProof/>
                <w:sz w:val="18"/>
                <w:szCs w:val="18"/>
              </w:rPr>
              <w:t>Οι επιμελητές συνήθως εργάζονται σε εκθέσεις που σχετίζονται με τον τομέα εξειδίκευσής τους, για παράδειγμα, την ιστορία, την ιστορία τέχνης, την ιστορία της επιστήμης και της τεχνολογίας, τα εικαστικά κ.λπ. Ωστόσο, για τη διεξαγωγή του επιμελητικού έργου είναι απαραίτητη η εξοικείωση του επιμελητή με την εκπαιδευτική διάσταση των εκθέσεων που επιμελείται και τη δυνατότητα σχεδιασμού και χρήσης των εκθέσεων αυτών από το ευρύτερο κοινό: παιδικό, ενηλίκων, με  ειδικές ανάγκες κλπ.</w:t>
            </w:r>
          </w:p>
          <w:p w14:paraId="01258D18" w14:textId="77777777" w:rsidR="00AE0E20" w:rsidRPr="002C7CE2" w:rsidRDefault="00AE0E20" w:rsidP="002C7CE2">
            <w:pPr>
              <w:jc w:val="both"/>
              <w:rPr>
                <w:rFonts w:ascii="Verdana" w:hAnsi="Verdana" w:cs="Arial"/>
                <w:noProof/>
                <w:sz w:val="18"/>
                <w:szCs w:val="18"/>
              </w:rPr>
            </w:pPr>
          </w:p>
          <w:p w14:paraId="2F46D08B" w14:textId="77777777" w:rsidR="003B1D0A" w:rsidRDefault="002C7CE2" w:rsidP="002C7CE2">
            <w:pPr>
              <w:jc w:val="both"/>
              <w:rPr>
                <w:rFonts w:ascii="Verdana" w:hAnsi="Verdana" w:cs="Arial"/>
                <w:noProof/>
                <w:sz w:val="18"/>
                <w:szCs w:val="18"/>
              </w:rPr>
            </w:pPr>
            <w:r w:rsidRPr="002C7CE2">
              <w:rPr>
                <w:rFonts w:ascii="Verdana" w:hAnsi="Verdana" w:cs="Arial"/>
                <w:noProof/>
                <w:sz w:val="18"/>
                <w:szCs w:val="18"/>
              </w:rPr>
              <w:t>Το μάθημα στοχεύει να εισαγάγει του μελλοντικούς επιμελητές στα παραπάνω πεδία, αξιοποιώντας βασικά εργαλεία της μουσειοπαιδαγωγικής, της τυπικής, άτυπης και διά βίου εκπαίδευσης, του μουσειακού θεάτρου αλλά και των ψηφιακών τεχνολογιών. Πεεριλαμβάνει σχεδιασμό εκπαιδευτικού προγράμματος, επισκέψεις σε εκθεσιακούς χώρους και συζητήσεις με μουσειοπαιδαγωγούς και υπεύθυνους επικοινωνίας εκθεσιακών διοργανώσεων και συναφών πολιτιστικών οργανισμών.</w:t>
            </w:r>
          </w:p>
          <w:p w14:paraId="0B03DD52" w14:textId="6C9BE4CF" w:rsidR="00AE0E20" w:rsidRPr="008A69EE" w:rsidRDefault="00AE0E20" w:rsidP="002C7CE2">
            <w:pPr>
              <w:jc w:val="both"/>
              <w:rPr>
                <w:rFonts w:ascii="Verdana" w:hAnsi="Verdana" w:cs="Arial"/>
                <w:sz w:val="18"/>
                <w:szCs w:val="18"/>
              </w:rPr>
            </w:pP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09BD1902" w:rsidR="003B1D0A" w:rsidRPr="00AE0E20" w:rsidRDefault="002C7CE2" w:rsidP="002166D9">
            <w:pPr>
              <w:rPr>
                <w:rFonts w:ascii="Verdana" w:hAnsi="Verdana" w:cs="Arial"/>
                <w:sz w:val="18"/>
                <w:szCs w:val="18"/>
                <w:lang w:val="en-US"/>
              </w:rPr>
            </w:pPr>
            <w:r w:rsidRPr="00AE0E20">
              <w:rPr>
                <w:rFonts w:ascii="Verdana" w:hAnsi="Verdana" w:cs="Arial"/>
                <w:b/>
                <w:bCs/>
                <w:noProof/>
                <w:sz w:val="18"/>
                <w:szCs w:val="18"/>
              </w:rPr>
              <w:t>ΕΤΕΠ 531</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4BC2D75B" w:rsidR="003B1D0A" w:rsidRPr="000F4593" w:rsidRDefault="002C7CE2" w:rsidP="002166D9">
            <w:pPr>
              <w:rPr>
                <w:rFonts w:ascii="Verdana" w:hAnsi="Verdana" w:cs="Arial"/>
                <w:sz w:val="18"/>
                <w:szCs w:val="18"/>
                <w:lang w:val="en-US"/>
              </w:rPr>
            </w:pPr>
            <w:r w:rsidRPr="00AE0E20">
              <w:rPr>
                <w:rFonts w:ascii="Verdana" w:hAnsi="Verdana" w:cs="Arial"/>
                <w:b/>
                <w:bCs/>
                <w:noProof/>
                <w:sz w:val="18"/>
                <w:szCs w:val="18"/>
              </w:rPr>
              <w:t>Μουσειολογία - Διαχείριση  πολιτιστικής κληρονομιάς</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AE0E20" w:rsidRDefault="003B1D0A" w:rsidP="002166D9">
            <w:pPr>
              <w:jc w:val="right"/>
              <w:rPr>
                <w:rFonts w:ascii="Verdana" w:hAnsi="Verdana" w:cs="Arial"/>
                <w:b/>
                <w:bCs/>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195A0CB1" w:rsidR="003B1D0A" w:rsidRPr="000F4593" w:rsidRDefault="003B1D0A" w:rsidP="002166D9">
            <w:pPr>
              <w:rPr>
                <w:rFonts w:ascii="Verdana" w:hAnsi="Verdana" w:cs="Arial"/>
                <w:sz w:val="18"/>
                <w:szCs w:val="18"/>
                <w:lang w:val="en-US"/>
              </w:rPr>
            </w:pPr>
            <w:r w:rsidRPr="00AE0E20">
              <w:rPr>
                <w:rFonts w:ascii="Verdana" w:hAnsi="Verdana" w:cs="Arial"/>
                <w:noProof/>
                <w:sz w:val="18"/>
                <w:szCs w:val="18"/>
              </w:rPr>
              <w:t>Επιλογής</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7B2191C" w14:textId="76DBE855" w:rsidR="003B1D0A" w:rsidRPr="00C069AD" w:rsidRDefault="002C7CE2" w:rsidP="002166D9">
            <w:pPr>
              <w:jc w:val="center"/>
              <w:rPr>
                <w:rFonts w:ascii="Verdana" w:hAnsi="Verdana" w:cs="Arial"/>
                <w:sz w:val="18"/>
                <w:szCs w:val="18"/>
              </w:rPr>
            </w:pPr>
            <w:r w:rsidRPr="00AE0E20">
              <w:rPr>
                <w:rFonts w:ascii="Verdana" w:hAnsi="Verdana" w:cs="Arial"/>
                <w:noProof/>
                <w:sz w:val="18"/>
                <w:szCs w:val="18"/>
              </w:rPr>
              <w:t>5</w:t>
            </w:r>
            <w:r w:rsidR="003B1D0A" w:rsidRPr="00AE0E20">
              <w:rPr>
                <w:rFonts w:ascii="Verdana" w:hAnsi="Verdana" w:cs="Arial"/>
                <w:noProof/>
                <w:sz w:val="18"/>
                <w:szCs w:val="18"/>
                <w:vertAlign w:val="superscript"/>
              </w:rPr>
              <w:t>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77777777" w:rsidR="003B1D0A" w:rsidRPr="008A69EE" w:rsidRDefault="003B1D0A"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lastRenderedPageBreak/>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447EEFDF" w:rsidR="003B1D0A" w:rsidRPr="00297CC3" w:rsidRDefault="002C7CE2" w:rsidP="002166D9">
            <w:pPr>
              <w:jc w:val="center"/>
              <w:rPr>
                <w:rFonts w:ascii="Verdana" w:hAnsi="Verdana" w:cs="Arial"/>
                <w:sz w:val="18"/>
                <w:szCs w:val="18"/>
              </w:rPr>
            </w:pPr>
            <w:r>
              <w:rPr>
                <w:rFonts w:ascii="Verdana" w:hAnsi="Verdana" w:cs="Arial"/>
                <w:noProof/>
                <w:sz w:val="18"/>
                <w:szCs w:val="18"/>
              </w:rPr>
              <w:t>2</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2617500E" w:rsidR="003B1D0A" w:rsidRPr="008A69EE" w:rsidRDefault="002C7CE2" w:rsidP="002166D9">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2EA59F25" w:rsidR="003B1D0A" w:rsidRPr="000F4593" w:rsidRDefault="003B1D0A" w:rsidP="002166D9">
            <w:pPr>
              <w:jc w:val="center"/>
              <w:rPr>
                <w:rFonts w:ascii="Verdana" w:hAnsi="Verdana" w:cs="Arial"/>
                <w:sz w:val="18"/>
                <w:szCs w:val="18"/>
                <w:lang w:val="en-US"/>
              </w:rPr>
            </w:pP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3659DBFD"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Το μάθημα δίνει τη δυνατότητα εμβάθυνσης σε θεωρητικά</w:t>
            </w:r>
          </w:p>
          <w:p w14:paraId="30594BB5"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και πρακτικά ζητήματα που σχετίζονται με τη διαχείριση της πολιτιστικής</w:t>
            </w:r>
          </w:p>
          <w:p w14:paraId="6CBA2D93"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κληρονομιάς. Στοχεύει στην εξοικείωση των φοιτητών με τις</w:t>
            </w:r>
          </w:p>
          <w:p w14:paraId="3D7363E7"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έννοιες της πολιτιστικής πολιτικής και διαχείρισης και τη σύνδεση της</w:t>
            </w:r>
          </w:p>
          <w:p w14:paraId="0ECC665E"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μουσειoλογικής θεωρίας με πρακτικές της διαχείρισης μουσείων, μνημείων,</w:t>
            </w:r>
          </w:p>
          <w:p w14:paraId="527FE8A2"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ιστορικών κτηρίων και χώρων πολιτιστικής αναφοράς. Μέσα από την εξέταση</w:t>
            </w:r>
          </w:p>
          <w:p w14:paraId="100C6971"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διαφόρων παραδειγμάτων (πολιτιστικούς οργανισμούς, ιστορικούς χώρους,</w:t>
            </w:r>
          </w:p>
          <w:p w14:paraId="4735DEAE"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οικισμούς, τοπία, μουσεία τέχνης, ιστορικά, εθνογραφικά, λαογραφικά και</w:t>
            </w:r>
          </w:p>
          <w:p w14:paraId="78AC8FC0"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αρχαιολογικά μουσεία στην Ελλάδα και το εξωτερικό), εξετάζεται η σχέση της</w:t>
            </w:r>
          </w:p>
          <w:p w14:paraId="0F13B117"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πολιτιστικής διαχείρισης με την κοινωνική ταυτότητα, την ετερότητα, τη μνήμη και</w:t>
            </w:r>
          </w:p>
          <w:p w14:paraId="017D680C"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τις κοινωνικές διεκδικήσεις, ενώ παρέχονται βασικές γνώσεις όσον αφορά το</w:t>
            </w:r>
          </w:p>
          <w:p w14:paraId="430D39AC"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πολιτιστικό μάρκετινγκ και το νομικό πλαίσιο λειτουργίας και διοίκησης μουσείων</w:t>
            </w:r>
          </w:p>
          <w:p w14:paraId="6D6A66DB"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και ιστορικών χώρων. Οι βασικές θεματικές ενότητες του μαθήματος είναι οι εξής:  1. Εισαγωγή στις έννοιες και τις προσεγγίσεις της πολιτιστικής κληρονομιάς</w:t>
            </w:r>
          </w:p>
          <w:p w14:paraId="25F8D007"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2. Πολιτιστική κληρονομιά και ανάπτυξη</w:t>
            </w:r>
          </w:p>
          <w:p w14:paraId="555168BE"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3. Πολιτιστική κληρονομιά και κοινότητες</w:t>
            </w:r>
          </w:p>
          <w:p w14:paraId="2F2C36D0"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4. Διαφιλονικούμενη πολιτιστική κληρονομιά</w:t>
            </w:r>
          </w:p>
          <w:p w14:paraId="4E3F91B8"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5. Διοίκηση μουσείων και πολιτισμικών μονάδων</w:t>
            </w:r>
          </w:p>
          <w:p w14:paraId="77C6169C"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6. Ερμηνεία και διαχείριση ιστορικών και αρχιτεκτονικών συνόλων</w:t>
            </w:r>
          </w:p>
          <w:p w14:paraId="055E458D" w14:textId="77777777" w:rsidR="00AE0E20" w:rsidRPr="00AE0E20" w:rsidRDefault="00AE0E20" w:rsidP="00AE0E20">
            <w:pPr>
              <w:jc w:val="both"/>
              <w:rPr>
                <w:rFonts w:ascii="Verdana" w:hAnsi="Verdana" w:cs="Arial"/>
                <w:noProof/>
                <w:sz w:val="18"/>
                <w:szCs w:val="18"/>
              </w:rPr>
            </w:pPr>
            <w:r w:rsidRPr="00AE0E20">
              <w:rPr>
                <w:rFonts w:ascii="Verdana" w:hAnsi="Verdana" w:cs="Arial"/>
                <w:noProof/>
                <w:sz w:val="18"/>
                <w:szCs w:val="18"/>
              </w:rPr>
              <w:t>7. Πολιτιστική κληρονομιά και νομικό πλαίσιο</w:t>
            </w:r>
          </w:p>
          <w:p w14:paraId="5EBD51AE" w14:textId="0C9EF4D6" w:rsidR="003B1D0A" w:rsidRPr="008A69EE" w:rsidRDefault="00AE0E20" w:rsidP="00AE0E20">
            <w:pPr>
              <w:jc w:val="both"/>
              <w:rPr>
                <w:rFonts w:ascii="Verdana" w:hAnsi="Verdana" w:cs="Arial"/>
                <w:sz w:val="18"/>
                <w:szCs w:val="18"/>
              </w:rPr>
            </w:pPr>
            <w:r w:rsidRPr="00AE0E20">
              <w:rPr>
                <w:rFonts w:ascii="Verdana" w:hAnsi="Verdana" w:cs="Arial"/>
                <w:noProof/>
                <w:sz w:val="18"/>
                <w:szCs w:val="18"/>
              </w:rPr>
              <w:t>8. Στρατηγικές επικοινωνίας μουσείων και πολιτιστικών οργανισμών</w:t>
            </w:r>
          </w:p>
        </w:tc>
      </w:tr>
    </w:tbl>
    <w:p w14:paraId="2C06AD33" w14:textId="77777777" w:rsidR="00A04C8F" w:rsidRDefault="00A04C8F" w:rsidP="0092162A">
      <w:pPr>
        <w:spacing w:before="60" w:after="60"/>
        <w:jc w:val="both"/>
        <w:rPr>
          <w:rFonts w:ascii="Verdana" w:hAnsi="Verdana"/>
          <w:color w:val="000000"/>
          <w:sz w:val="18"/>
          <w:szCs w:val="18"/>
        </w:rPr>
      </w:pPr>
    </w:p>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E999C" w14:textId="77777777" w:rsidR="009A7CFC" w:rsidRDefault="009A7CFC">
      <w:r>
        <w:separator/>
      </w:r>
    </w:p>
  </w:endnote>
  <w:endnote w:type="continuationSeparator" w:id="0">
    <w:p w14:paraId="5A06768E" w14:textId="77777777" w:rsidR="009A7CFC" w:rsidRDefault="009A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B060402020202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415D0">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F174" w14:textId="77777777" w:rsidR="009A7CFC" w:rsidRDefault="009A7CFC">
      <w:r>
        <w:separator/>
      </w:r>
    </w:p>
  </w:footnote>
  <w:footnote w:type="continuationSeparator" w:id="0">
    <w:p w14:paraId="3BAC5B41" w14:textId="77777777" w:rsidR="009A7CFC" w:rsidRDefault="009A7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2A"/>
    <w:rsid w:val="00036967"/>
    <w:rsid w:val="00037A51"/>
    <w:rsid w:val="000402D9"/>
    <w:rsid w:val="000577DD"/>
    <w:rsid w:val="000A6581"/>
    <w:rsid w:val="000E2B8B"/>
    <w:rsid w:val="000F4593"/>
    <w:rsid w:val="0013113D"/>
    <w:rsid w:val="00134605"/>
    <w:rsid w:val="00136D26"/>
    <w:rsid w:val="00173719"/>
    <w:rsid w:val="0017417E"/>
    <w:rsid w:val="001F2AA4"/>
    <w:rsid w:val="00221AB9"/>
    <w:rsid w:val="00241B8D"/>
    <w:rsid w:val="00247C2C"/>
    <w:rsid w:val="0026494C"/>
    <w:rsid w:val="00297CC3"/>
    <w:rsid w:val="002C3C2A"/>
    <w:rsid w:val="002C42B2"/>
    <w:rsid w:val="002C7CE2"/>
    <w:rsid w:val="002D2DBD"/>
    <w:rsid w:val="002D3438"/>
    <w:rsid w:val="002F29BA"/>
    <w:rsid w:val="002F6FB4"/>
    <w:rsid w:val="00322F6D"/>
    <w:rsid w:val="00333616"/>
    <w:rsid w:val="003350F8"/>
    <w:rsid w:val="00353F2E"/>
    <w:rsid w:val="003952A8"/>
    <w:rsid w:val="00396B01"/>
    <w:rsid w:val="003B1D0A"/>
    <w:rsid w:val="00435681"/>
    <w:rsid w:val="00467542"/>
    <w:rsid w:val="004F2B5C"/>
    <w:rsid w:val="00500F6C"/>
    <w:rsid w:val="00522C7F"/>
    <w:rsid w:val="005246C9"/>
    <w:rsid w:val="005409EA"/>
    <w:rsid w:val="005415D0"/>
    <w:rsid w:val="00557D98"/>
    <w:rsid w:val="00575280"/>
    <w:rsid w:val="005C0A46"/>
    <w:rsid w:val="005C1DB3"/>
    <w:rsid w:val="00616991"/>
    <w:rsid w:val="006906AB"/>
    <w:rsid w:val="006974E6"/>
    <w:rsid w:val="006D4586"/>
    <w:rsid w:val="006F5D48"/>
    <w:rsid w:val="00703BFE"/>
    <w:rsid w:val="00727C78"/>
    <w:rsid w:val="00732F91"/>
    <w:rsid w:val="007426D0"/>
    <w:rsid w:val="00790EED"/>
    <w:rsid w:val="007A6066"/>
    <w:rsid w:val="007B67BA"/>
    <w:rsid w:val="007C086F"/>
    <w:rsid w:val="007F1736"/>
    <w:rsid w:val="007F34AB"/>
    <w:rsid w:val="007F4ACF"/>
    <w:rsid w:val="00810313"/>
    <w:rsid w:val="00812E71"/>
    <w:rsid w:val="008720ED"/>
    <w:rsid w:val="0087298F"/>
    <w:rsid w:val="00884F97"/>
    <w:rsid w:val="00895991"/>
    <w:rsid w:val="009001E4"/>
    <w:rsid w:val="0092162A"/>
    <w:rsid w:val="009376F4"/>
    <w:rsid w:val="00942AC5"/>
    <w:rsid w:val="00957C0F"/>
    <w:rsid w:val="00961A11"/>
    <w:rsid w:val="009653C2"/>
    <w:rsid w:val="009A0AA6"/>
    <w:rsid w:val="009A5E7B"/>
    <w:rsid w:val="009A7CFC"/>
    <w:rsid w:val="009D4776"/>
    <w:rsid w:val="00A04C8F"/>
    <w:rsid w:val="00A15620"/>
    <w:rsid w:val="00A24872"/>
    <w:rsid w:val="00A24D3F"/>
    <w:rsid w:val="00A34376"/>
    <w:rsid w:val="00A3731C"/>
    <w:rsid w:val="00A723C7"/>
    <w:rsid w:val="00A72AFE"/>
    <w:rsid w:val="00A83CA0"/>
    <w:rsid w:val="00A85B50"/>
    <w:rsid w:val="00AA1DE8"/>
    <w:rsid w:val="00AA6B56"/>
    <w:rsid w:val="00AB0F3E"/>
    <w:rsid w:val="00AE0E20"/>
    <w:rsid w:val="00B21104"/>
    <w:rsid w:val="00B640DD"/>
    <w:rsid w:val="00B84D42"/>
    <w:rsid w:val="00BA1B73"/>
    <w:rsid w:val="00BA2CFF"/>
    <w:rsid w:val="00BB7652"/>
    <w:rsid w:val="00BD209F"/>
    <w:rsid w:val="00C64506"/>
    <w:rsid w:val="00C938D8"/>
    <w:rsid w:val="00CA5E28"/>
    <w:rsid w:val="00CB3DAB"/>
    <w:rsid w:val="00CE4684"/>
    <w:rsid w:val="00D00C41"/>
    <w:rsid w:val="00D10ADD"/>
    <w:rsid w:val="00D26F63"/>
    <w:rsid w:val="00D5054A"/>
    <w:rsid w:val="00D54134"/>
    <w:rsid w:val="00D64B94"/>
    <w:rsid w:val="00D7002B"/>
    <w:rsid w:val="00D7241F"/>
    <w:rsid w:val="00D76C28"/>
    <w:rsid w:val="00DB5C05"/>
    <w:rsid w:val="00DF3729"/>
    <w:rsid w:val="00DF3A94"/>
    <w:rsid w:val="00E00A79"/>
    <w:rsid w:val="00E30F72"/>
    <w:rsid w:val="00E325D1"/>
    <w:rsid w:val="00E35546"/>
    <w:rsid w:val="00E60319"/>
    <w:rsid w:val="00E670CA"/>
    <w:rsid w:val="00E75E71"/>
    <w:rsid w:val="00EA2990"/>
    <w:rsid w:val="00EF4976"/>
    <w:rsid w:val="00F01ECC"/>
    <w:rsid w:val="00F44E9E"/>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2865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5</cp:revision>
  <cp:lastPrinted>2023-12-21T08:21:00Z</cp:lastPrinted>
  <dcterms:created xsi:type="dcterms:W3CDTF">2024-09-12T10:30:00Z</dcterms:created>
  <dcterms:modified xsi:type="dcterms:W3CDTF">2024-09-13T10:23:00Z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